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6CF1D" w14:textId="77777777" w:rsidR="00D97B9C" w:rsidRDefault="00D97B9C" w:rsidP="00111054">
      <w:pPr>
        <w:pStyle w:val="berschrift1"/>
        <w:keepNext/>
        <w:rPr>
          <w:rFonts w:eastAsia="Times New Roman" w:cs="Calibri"/>
        </w:rPr>
      </w:pPr>
      <w:r>
        <w:rPr>
          <w:rFonts w:eastAsia="Times New Roman" w:cs="Calibri"/>
        </w:rPr>
        <w:t>Sesshaft werden: Fortschritt oder Fehler?</w:t>
      </w:r>
    </w:p>
    <w:p w14:paraId="4D4453FE" w14:textId="77777777" w:rsidR="00D97B9C" w:rsidRDefault="00D97B9C" w:rsidP="00111054">
      <w:pPr>
        <w:pStyle w:val="kopf"/>
        <w:keepNext/>
        <w:rPr>
          <w:rFonts w:ascii="Calibri" w:hAnsi="Calibri" w:cs="Calibri"/>
        </w:rPr>
      </w:pPr>
      <w:r>
        <w:rPr>
          <w:rFonts w:ascii="Calibri" w:hAnsi="Calibri" w:cs="Calibri"/>
        </w:rPr>
        <w:t>Politik und Wirtschaft · Gesellschaftlicher Wandel · Kerncurriculum 11.1 – Material · Maternet</w:t>
      </w:r>
    </w:p>
    <w:p w14:paraId="5157038D" w14:textId="77777777" w:rsidR="00D97B9C" w:rsidRDefault="00D97B9C" w:rsidP="00111054">
      <w:pPr>
        <w:pStyle w:val="berschrift3"/>
        <w:keepNext/>
        <w:rPr>
          <w:rFonts w:eastAsia="Times New Roman" w:cs="Calibri"/>
        </w:rPr>
      </w:pPr>
      <w:r>
        <w:rPr>
          <w:rFonts w:eastAsia="Times New Roman" w:cs="Calibri"/>
        </w:rPr>
        <w:t>Arbeitsaufträge</w:t>
      </w:r>
    </w:p>
    <w:p w14:paraId="12300E9E" w14:textId="77777777" w:rsidR="00D97B9C" w:rsidRDefault="00D97B9C" w:rsidP="00111054">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Arbeite</w:t>
      </w:r>
      <w:r>
        <w:rPr>
          <w:rFonts w:ascii="Calibri" w:eastAsia="Times New Roman" w:hAnsi="Calibri" w:cs="Calibri"/>
          <w:sz w:val="22"/>
          <w:szCs w:val="22"/>
        </w:rPr>
        <w:t xml:space="preserve"> aus M1 bis M3 </w:t>
      </w:r>
      <w:r>
        <w:rPr>
          <w:rStyle w:val="Fett"/>
          <w:rFonts w:ascii="Calibri" w:eastAsia="Times New Roman" w:hAnsi="Calibri" w:cs="Calibri"/>
          <w:sz w:val="22"/>
          <w:szCs w:val="22"/>
        </w:rPr>
        <w:t>heraus</w:t>
      </w:r>
      <w:r>
        <w:rPr>
          <w:rFonts w:ascii="Calibri" w:eastAsia="Times New Roman" w:hAnsi="Calibri" w:cs="Calibri"/>
          <w:sz w:val="22"/>
          <w:szCs w:val="22"/>
        </w:rPr>
        <w:t xml:space="preserve">, wie sich das Leben mit der Sesshaftigkeit veränderte. </w:t>
      </w:r>
      <w:r>
        <w:rPr>
          <w:rStyle w:val="Fett"/>
          <w:rFonts w:ascii="Calibri" w:eastAsia="Times New Roman" w:hAnsi="Calibri" w:cs="Calibri"/>
          <w:sz w:val="22"/>
          <w:szCs w:val="22"/>
        </w:rPr>
        <w:t>Fülle</w:t>
      </w:r>
      <w:r>
        <w:rPr>
          <w:rFonts w:ascii="Calibri" w:eastAsia="Times New Roman" w:hAnsi="Calibri" w:cs="Calibri"/>
          <w:sz w:val="22"/>
          <w:szCs w:val="22"/>
        </w:rPr>
        <w:t xml:space="preserve"> dazu das Raster M4 </w:t>
      </w:r>
      <w:r>
        <w:rPr>
          <w:rStyle w:val="Fett"/>
          <w:rFonts w:ascii="Calibri" w:eastAsia="Times New Roman" w:hAnsi="Calibri" w:cs="Calibri"/>
          <w:sz w:val="22"/>
          <w:szCs w:val="22"/>
        </w:rPr>
        <w:t>aus</w:t>
      </w:r>
      <w:r>
        <w:rPr>
          <w:rFonts w:ascii="Calibri" w:eastAsia="Times New Roman" w:hAnsi="Calibri" w:cs="Calibri"/>
          <w:sz w:val="22"/>
          <w:szCs w:val="22"/>
        </w:rPr>
        <w:t xml:space="preserve"> und belege jede Eintragung mit dem Material. Markiere mit + oder −, ob die Veränderung eher ein Gewinn oder ein Verlust war.</w:t>
      </w:r>
    </w:p>
    <w:p w14:paraId="58AD876F" w14:textId="77777777" w:rsidR="00D97B9C" w:rsidRDefault="00D97B9C" w:rsidP="00111054">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Überprüfe</w:t>
      </w:r>
      <w:r>
        <w:rPr>
          <w:rFonts w:ascii="Calibri" w:eastAsia="Times New Roman" w:hAnsi="Calibri" w:cs="Calibri"/>
          <w:sz w:val="22"/>
          <w:szCs w:val="22"/>
        </w:rPr>
        <w:t xml:space="preserve"> Jared Diamonds Text als Quelle: Wer schreibt, wann, für wen und mit welcher Absicht? </w:t>
      </w:r>
      <w:r>
        <w:rPr>
          <w:rStyle w:val="Fett"/>
          <w:rFonts w:ascii="Calibri" w:eastAsia="Times New Roman" w:hAnsi="Calibri" w:cs="Calibri"/>
          <w:sz w:val="22"/>
          <w:szCs w:val="22"/>
        </w:rPr>
        <w:t>Vergleiche</w:t>
      </w:r>
      <w:r>
        <w:rPr>
          <w:rFonts w:ascii="Calibri" w:eastAsia="Times New Roman" w:hAnsi="Calibri" w:cs="Calibri"/>
          <w:sz w:val="22"/>
          <w:szCs w:val="22"/>
        </w:rPr>
        <w:t xml:space="preserve"> </w:t>
      </w:r>
      <w:r>
        <w:rPr>
          <w:rFonts w:ascii="Calibri" w:eastAsia="Times New Roman" w:hAnsi="Calibri" w:cs="Calibri"/>
          <w:sz w:val="22"/>
          <w:szCs w:val="22"/>
        </w:rPr>
        <w:t>seine These mit den Studien in M2 und dem Fund in M3. Wo wird sie gestützt, wo greift sie zu kurz?</w:t>
      </w:r>
    </w:p>
    <w:p w14:paraId="14318478" w14:textId="77777777" w:rsidR="00D97B9C" w:rsidRDefault="00D97B9C" w:rsidP="00111054">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Erkläre</w:t>
      </w:r>
      <w:r>
        <w:rPr>
          <w:rFonts w:ascii="Calibri" w:eastAsia="Times New Roman" w:hAnsi="Calibri" w:cs="Calibri"/>
          <w:sz w:val="22"/>
          <w:szCs w:val="22"/>
        </w:rPr>
        <w:t xml:space="preserve"> mithilfe von M5 den Begriff gesellschaftlicher Wandel in eigenen Worten. </w:t>
      </w:r>
      <w:r>
        <w:rPr>
          <w:rStyle w:val="Fett"/>
          <w:rFonts w:ascii="Calibri" w:eastAsia="Times New Roman" w:hAnsi="Calibri" w:cs="Calibri"/>
          <w:sz w:val="22"/>
          <w:szCs w:val="22"/>
        </w:rPr>
        <w:t>Ordne</w:t>
      </w:r>
      <w:r>
        <w:rPr>
          <w:rFonts w:ascii="Calibri" w:eastAsia="Times New Roman" w:hAnsi="Calibri" w:cs="Calibri"/>
          <w:sz w:val="22"/>
          <w:szCs w:val="22"/>
        </w:rPr>
        <w:t xml:space="preserve"> die Neolithische Revolution einem der Begriffe sozialer Wandel, Modernisierung oder Transformation </w:t>
      </w:r>
      <w:r>
        <w:rPr>
          <w:rStyle w:val="Fett"/>
          <w:rFonts w:ascii="Calibri" w:eastAsia="Times New Roman" w:hAnsi="Calibri" w:cs="Calibri"/>
          <w:sz w:val="22"/>
          <w:szCs w:val="22"/>
        </w:rPr>
        <w:t>zu</w:t>
      </w:r>
      <w:r>
        <w:rPr>
          <w:rFonts w:ascii="Calibri" w:eastAsia="Times New Roman" w:hAnsi="Calibri" w:cs="Calibri"/>
          <w:sz w:val="22"/>
          <w:szCs w:val="22"/>
        </w:rPr>
        <w:t xml:space="preserve"> und </w:t>
      </w:r>
      <w:r>
        <w:rPr>
          <w:rStyle w:val="Fett"/>
          <w:rFonts w:ascii="Calibri" w:eastAsia="Times New Roman" w:hAnsi="Calibri" w:cs="Calibri"/>
          <w:sz w:val="22"/>
          <w:szCs w:val="22"/>
        </w:rPr>
        <w:t>begründe</w:t>
      </w:r>
      <w:r>
        <w:rPr>
          <w:rFonts w:ascii="Calibri" w:eastAsia="Times New Roman" w:hAnsi="Calibri" w:cs="Calibri"/>
          <w:sz w:val="22"/>
          <w:szCs w:val="22"/>
        </w:rPr>
        <w:t>.</w:t>
      </w:r>
    </w:p>
    <w:p w14:paraId="4AB3AC96" w14:textId="77777777" w:rsidR="00D97B9C" w:rsidRDefault="00D97B9C" w:rsidP="00111054">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Wende</w:t>
      </w:r>
      <w:r>
        <w:rPr>
          <w:rFonts w:ascii="Calibri" w:eastAsia="Times New Roman" w:hAnsi="Calibri" w:cs="Calibri"/>
          <w:sz w:val="22"/>
          <w:szCs w:val="22"/>
        </w:rPr>
        <w:t xml:space="preserve"> die sechs Bereiche des Rasters auf die Digitalisierung </w:t>
      </w:r>
      <w:r>
        <w:rPr>
          <w:rStyle w:val="Fett"/>
          <w:rFonts w:ascii="Calibri" w:eastAsia="Times New Roman" w:hAnsi="Calibri" w:cs="Calibri"/>
          <w:sz w:val="22"/>
          <w:szCs w:val="22"/>
        </w:rPr>
        <w:t>an</w:t>
      </w:r>
      <w:r>
        <w:rPr>
          <w:rFonts w:ascii="Calibri" w:eastAsia="Times New Roman" w:hAnsi="Calibri" w:cs="Calibri"/>
          <w:sz w:val="22"/>
          <w:szCs w:val="22"/>
        </w:rPr>
        <w:t>: Was verändert sich, wer gewinnt, wer verliert?</w:t>
      </w:r>
    </w:p>
    <w:p w14:paraId="69F0CAC9" w14:textId="77777777" w:rsidR="00D97B9C" w:rsidRDefault="00D97B9C" w:rsidP="00111054">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Nimm Stellung</w:t>
      </w:r>
      <w:r>
        <w:rPr>
          <w:rFonts w:ascii="Calibri" w:eastAsia="Times New Roman" w:hAnsi="Calibri" w:cs="Calibri"/>
          <w:sz w:val="22"/>
          <w:szCs w:val="22"/>
        </w:rPr>
        <w:t xml:space="preserve"> </w:t>
      </w:r>
      <w:r>
        <w:rPr>
          <w:rFonts w:ascii="Calibri" w:eastAsia="Times New Roman" w:hAnsi="Calibri" w:cs="Calibri"/>
          <w:sz w:val="22"/>
          <w:szCs w:val="22"/>
        </w:rPr>
        <w:t>(etwa 150 Wörter): „Die Sesshaftigkeit war ein Fortschritt für die Menschheit.“ Beziehe mindestens zwei Belege aus M1 bis M3 ein.</w:t>
      </w:r>
    </w:p>
    <w:p w14:paraId="55A0681F" w14:textId="77777777" w:rsidR="00D97B9C" w:rsidRDefault="00D97B9C" w:rsidP="00111054">
      <w:pPr>
        <w:pStyle w:val="berschrift3"/>
        <w:keepNext/>
        <w:rPr>
          <w:rFonts w:eastAsia="Times New Roman" w:cs="Calibri"/>
        </w:rPr>
      </w:pPr>
      <w:r>
        <w:rPr>
          <w:rFonts w:eastAsia="Times New Roman" w:cs="Calibri"/>
        </w:rPr>
        <w:t>M1 Vom Umherziehen zum Dorf (Darstellung)</w:t>
      </w:r>
    </w:p>
    <w:p w14:paraId="05C744B5"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Lange Zeit lebten alle Menschen als Jägerinnen und Jäger, Sammlerinnen und Sammler. Sie zogen in kleinen Gruppen durch ein Gebiet, jagten Wild, fischten und sammelten Pflanzen, Beeren und Nüsse. Was sie besaßen, mussten sie tragen können. In der Mittelsteinzeit setzten sie winzige, scharfe Steinklingen, sogenannte </w:t>
      </w:r>
      <w:r>
        <w:rPr>
          <w:rStyle w:val="Fett"/>
          <w:rFonts w:ascii="Calibri" w:hAnsi="Calibri" w:cs="Calibri"/>
          <w:sz w:val="22"/>
          <w:szCs w:val="22"/>
        </w:rPr>
        <w:t>Mikrolithen</w:t>
      </w:r>
      <w:r>
        <w:rPr>
          <w:rFonts w:ascii="Calibri" w:hAnsi="Calibri" w:cs="Calibri"/>
          <w:sz w:val="22"/>
          <w:szCs w:val="22"/>
        </w:rPr>
        <w:t>, als Spitzen und Schneiden in Pfeile und Harpunen.</w:t>
      </w:r>
    </w:p>
    <w:p w14:paraId="48A38641"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Um 10 000 v. Chr. begannen Menschen im </w:t>
      </w:r>
      <w:r>
        <w:rPr>
          <w:rStyle w:val="Fett"/>
          <w:rFonts w:ascii="Calibri" w:hAnsi="Calibri" w:cs="Calibri"/>
          <w:sz w:val="22"/>
          <w:szCs w:val="22"/>
        </w:rPr>
        <w:t>Fruchtbaren Halbmond</w:t>
      </w:r>
      <w:r>
        <w:rPr>
          <w:rFonts w:ascii="Calibri" w:hAnsi="Calibri" w:cs="Calibri"/>
          <w:sz w:val="22"/>
          <w:szCs w:val="22"/>
        </w:rPr>
        <w:t xml:space="preserve">, einer Region im Nahen Osten, Pflanzen gezielt anzubauen: Getreide wie Emmer, Einkorn und Gerste, dazu Linsen und Erbsen. Sie hielten Schafe und Ziegen, später auch Rinder und Schweine. Der Übergang dauerte viele Generationen. Fachleute nennen ihn </w:t>
      </w:r>
      <w:r>
        <w:rPr>
          <w:rStyle w:val="Fett"/>
          <w:rFonts w:ascii="Calibri" w:hAnsi="Calibri" w:cs="Calibri"/>
          <w:sz w:val="22"/>
          <w:szCs w:val="22"/>
        </w:rPr>
        <w:t>Neolithische Revolution</w:t>
      </w:r>
      <w:r>
        <w:rPr>
          <w:rFonts w:ascii="Calibri" w:hAnsi="Calibri" w:cs="Calibri"/>
          <w:sz w:val="22"/>
          <w:szCs w:val="22"/>
        </w:rPr>
        <w:t xml:space="preserve"> („Neolithikum“ heißt Jungsteinzeit), manche sprechen lieber von einer „Revolution in Zeitlupe“.</w:t>
      </w:r>
    </w:p>
    <w:p w14:paraId="446255C9"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Nach Mitteleuropa kam die neue Lebensweise mit Gruppen, die aus Südosteuropa entlang der Donau zogen. Ab etwa 5500 v. Chr. siedelten sie auf den fruchtbaren Lössböden, auch im heutigen Hessen. Nach den Bandmustern auf ihren Tongefäßen heißen sie </w:t>
      </w:r>
      <w:r>
        <w:rPr>
          <w:rStyle w:val="Fett"/>
          <w:rFonts w:ascii="Calibri" w:hAnsi="Calibri" w:cs="Calibri"/>
          <w:sz w:val="22"/>
          <w:szCs w:val="22"/>
        </w:rPr>
        <w:t>Bandkeramiker</w:t>
      </w:r>
      <w:r>
        <w:rPr>
          <w:rFonts w:ascii="Calibri" w:hAnsi="Calibri" w:cs="Calibri"/>
          <w:sz w:val="22"/>
          <w:szCs w:val="22"/>
        </w:rPr>
        <w:t xml:space="preserve">. Sie wohnten in </w:t>
      </w:r>
      <w:r>
        <w:rPr>
          <w:rStyle w:val="Fett"/>
          <w:rFonts w:ascii="Calibri" w:hAnsi="Calibri" w:cs="Calibri"/>
          <w:sz w:val="22"/>
          <w:szCs w:val="22"/>
        </w:rPr>
        <w:t>Langhäusern</w:t>
      </w:r>
      <w:r>
        <w:rPr>
          <w:rFonts w:ascii="Calibri" w:hAnsi="Calibri" w:cs="Calibri"/>
          <w:sz w:val="22"/>
          <w:szCs w:val="22"/>
        </w:rPr>
        <w:t xml:space="preserve"> von bis zu 30 Metern Länge: Holzpfosten, dazwischen Wände aus Flechtwerk, mit Lehm verschmiert. Mehrere Höfe bildeten ein Dorf.</w:t>
      </w:r>
    </w:p>
    <w:p w14:paraId="0B81E89F" w14:textId="77777777" w:rsidR="00D97B9C" w:rsidRDefault="00D97B9C" w:rsidP="00111054">
      <w:pPr>
        <w:pStyle w:val="StandardWeb"/>
        <w:rPr>
          <w:rFonts w:ascii="Calibri" w:hAnsi="Calibri" w:cs="Calibri"/>
          <w:sz w:val="22"/>
          <w:szCs w:val="22"/>
        </w:rPr>
      </w:pPr>
      <w:r>
        <w:rPr>
          <w:rFonts w:ascii="Calibri" w:hAnsi="Calibri" w:cs="Calibri"/>
          <w:sz w:val="22"/>
          <w:szCs w:val="22"/>
        </w:rPr>
        <w:t>Mit dem Ackerbau kamen neue Dinge: Tongefäße zum Kochen und Lagern, geschliffene Steinbeile zum Fällen von Bäumen, Sicheln für die Ernte, Mahlsteine für Mehl. Ernten ließen sich als Vorrat für den Winter aufbewahren. Felder mussten über Monate bestellt, gepflegt und geschützt werden. Die Arbeit war an einen Ort und an den Rhythmus der Jahreszeiten gebunden.</w:t>
      </w:r>
    </w:p>
    <w:tbl>
      <w:tblPr>
        <w:tblW w:w="5000" w:type="pct"/>
        <w:tblCellMar>
          <w:top w:w="15" w:type="dxa"/>
          <w:left w:w="15" w:type="dxa"/>
          <w:bottom w:w="15" w:type="dxa"/>
          <w:right w:w="15" w:type="dxa"/>
        </w:tblCellMar>
        <w:tblLook w:val="04A0" w:firstRow="1" w:lastRow="0" w:firstColumn="1" w:lastColumn="0" w:noHBand="0" w:noVBand="1"/>
      </w:tblPr>
      <w:tblGrid>
        <w:gridCol w:w="4713"/>
        <w:gridCol w:w="4713"/>
      </w:tblGrid>
      <w:tr w:rsidR="00000000" w14:paraId="06CC9232" w14:textId="77777777" w:rsidTr="00111054">
        <w:trPr>
          <w:cantSplit/>
        </w:trPr>
        <w:tc>
          <w:tcPr>
            <w:tcW w:w="2500" w:type="pct"/>
            <w:tcBorders>
              <w:top w:val="nil"/>
              <w:left w:val="nil"/>
              <w:bottom w:val="nil"/>
              <w:right w:val="nil"/>
            </w:tcBorders>
            <w:tcMar>
              <w:top w:w="60" w:type="dxa"/>
              <w:left w:w="100" w:type="dxa"/>
              <w:bottom w:w="60" w:type="dxa"/>
              <w:right w:w="100" w:type="dxa"/>
            </w:tcMar>
            <w:hideMark/>
          </w:tcPr>
          <w:p w14:paraId="11C5E51F" w14:textId="77777777" w:rsidR="00D97B9C" w:rsidRDefault="00D97B9C" w:rsidP="00111054">
            <w:pPr>
              <w:pStyle w:val="StandardWeb"/>
              <w:keepNext/>
              <w:jc w:val="center"/>
              <w:divId w:val="1641493756"/>
              <w:rPr>
                <w:rFonts w:ascii="Calibri" w:hAnsi="Calibri" w:cs="Calibri"/>
                <w:sz w:val="22"/>
                <w:szCs w:val="22"/>
              </w:rPr>
            </w:pPr>
            <w:r>
              <w:rPr>
                <w:rFonts w:ascii="Calibri" w:hAnsi="Calibri" w:cs="Calibri"/>
                <w:noProof/>
                <w:sz w:val="22"/>
                <w:szCs w:val="22"/>
              </w:rPr>
              <w:lastRenderedPageBreak/>
              <w:drawing>
                <wp:inline distT="0" distB="0" distL="0" distR="0" wp14:anchorId="5171D290" wp14:editId="70BDDD5B">
                  <wp:extent cx="1714500" cy="1143000"/>
                  <wp:effectExtent l="0" t="0" r="0" b="0"/>
                  <wp:docPr id="1" name="Bild 1" descr="Großer Stein mit einer flachen Mulde, darauf ein kleinerer, länglicher Stein, auf dem eine Hand lie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ßer Stein mit einer flachen Mulde, darauf ein kleinerer, länglicher Stein, auf dem eine Hand lieg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p>
          <w:p w14:paraId="6FF38311" w14:textId="77777777" w:rsidR="00D97B9C" w:rsidRDefault="00D97B9C" w:rsidP="00111054">
            <w:pPr>
              <w:pStyle w:val="bildunterschrift"/>
              <w:keepNext/>
              <w:jc w:val="center"/>
              <w:divId w:val="1641493756"/>
              <w:rPr>
                <w:rFonts w:ascii="Calibri" w:hAnsi="Calibri" w:cs="Calibri"/>
              </w:rPr>
            </w:pPr>
            <w:r>
              <w:rPr>
                <w:rFonts w:ascii="Calibri" w:hAnsi="Calibri" w:cs="Calibri"/>
              </w:rPr>
              <w:t>Mahlstein mit Reibstein aus Mönchengladbach, etwa 3000 v. Chr. – Foto: Neozoon, CC BY-SA 3.0</w:t>
            </w:r>
          </w:p>
        </w:tc>
        <w:tc>
          <w:tcPr>
            <w:tcW w:w="2500" w:type="pct"/>
            <w:tcBorders>
              <w:top w:val="nil"/>
              <w:left w:val="nil"/>
              <w:bottom w:val="nil"/>
              <w:right w:val="nil"/>
            </w:tcBorders>
            <w:tcMar>
              <w:top w:w="60" w:type="dxa"/>
              <w:left w:w="100" w:type="dxa"/>
              <w:bottom w:w="60" w:type="dxa"/>
              <w:right w:w="100" w:type="dxa"/>
            </w:tcMar>
            <w:hideMark/>
          </w:tcPr>
          <w:p w14:paraId="6BF814D7" w14:textId="77777777" w:rsidR="00D97B9C" w:rsidRDefault="00D97B9C" w:rsidP="00111054">
            <w:pPr>
              <w:pStyle w:val="StandardWeb"/>
              <w:keepNext/>
              <w:jc w:val="center"/>
              <w:divId w:val="858739555"/>
              <w:rPr>
                <w:rFonts w:ascii="Calibri" w:hAnsi="Calibri" w:cs="Calibri"/>
                <w:sz w:val="22"/>
                <w:szCs w:val="22"/>
              </w:rPr>
            </w:pPr>
            <w:r>
              <w:rPr>
                <w:rFonts w:ascii="Calibri" w:hAnsi="Calibri" w:cs="Calibri"/>
                <w:noProof/>
                <w:sz w:val="22"/>
                <w:szCs w:val="22"/>
              </w:rPr>
              <w:drawing>
                <wp:inline distT="0" distB="0" distL="0" distR="0" wp14:anchorId="3A22AF6B" wp14:editId="5956C484">
                  <wp:extent cx="885825" cy="1143000"/>
                  <wp:effectExtent l="0" t="0" r="9525" b="0"/>
                  <wp:docPr id="2" name="Bild 2" descr="Bauchiges Tongefäß mit eingeritzten Bandmus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uchiges Tongefäß mit eingeritzten Bandmuster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5825" cy="1143000"/>
                          </a:xfrm>
                          <a:prstGeom prst="rect">
                            <a:avLst/>
                          </a:prstGeom>
                          <a:noFill/>
                          <a:ln>
                            <a:noFill/>
                          </a:ln>
                        </pic:spPr>
                      </pic:pic>
                    </a:graphicData>
                  </a:graphic>
                </wp:inline>
              </w:drawing>
            </w:r>
          </w:p>
          <w:p w14:paraId="27446B13" w14:textId="77777777" w:rsidR="00D97B9C" w:rsidRDefault="00D97B9C" w:rsidP="00111054">
            <w:pPr>
              <w:pStyle w:val="bildunterschrift"/>
              <w:keepNext/>
              <w:jc w:val="center"/>
              <w:divId w:val="858739555"/>
              <w:rPr>
                <w:rFonts w:ascii="Calibri" w:hAnsi="Calibri" w:cs="Calibri"/>
              </w:rPr>
            </w:pPr>
            <w:r>
              <w:rPr>
                <w:rFonts w:ascii="Calibri" w:hAnsi="Calibri" w:cs="Calibri"/>
              </w:rPr>
              <w:t>Tongefäß der Bandkeramik, Museum Rothenburg ob der Tauber – Foto: Wolfgang Sauber, CC BY-SA 4.0</w:t>
            </w:r>
          </w:p>
        </w:tc>
      </w:tr>
      <w:tr w:rsidR="00000000" w14:paraId="5196653B" w14:textId="77777777" w:rsidTr="00111054">
        <w:trPr>
          <w:cantSplit/>
        </w:trPr>
        <w:tc>
          <w:tcPr>
            <w:tcW w:w="2500" w:type="pct"/>
            <w:tcBorders>
              <w:top w:val="nil"/>
              <w:left w:val="nil"/>
              <w:bottom w:val="nil"/>
              <w:right w:val="nil"/>
            </w:tcBorders>
            <w:tcMar>
              <w:top w:w="60" w:type="dxa"/>
              <w:left w:w="100" w:type="dxa"/>
              <w:bottom w:w="60" w:type="dxa"/>
              <w:right w:w="100" w:type="dxa"/>
            </w:tcMar>
            <w:hideMark/>
          </w:tcPr>
          <w:p w14:paraId="711136EB" w14:textId="77777777" w:rsidR="00D97B9C" w:rsidRDefault="00D97B9C" w:rsidP="00111054">
            <w:pPr>
              <w:pStyle w:val="StandardWeb"/>
              <w:jc w:val="center"/>
              <w:divId w:val="511645068"/>
              <w:rPr>
                <w:rFonts w:ascii="Calibri" w:hAnsi="Calibri" w:cs="Calibri"/>
                <w:sz w:val="22"/>
                <w:szCs w:val="22"/>
              </w:rPr>
            </w:pPr>
            <w:r>
              <w:rPr>
                <w:rFonts w:ascii="Calibri" w:hAnsi="Calibri" w:cs="Calibri"/>
                <w:noProof/>
                <w:sz w:val="22"/>
                <w:szCs w:val="22"/>
              </w:rPr>
              <w:drawing>
                <wp:inline distT="0" distB="0" distL="0" distR="0" wp14:anchorId="112A6713" wp14:editId="1DC9949B">
                  <wp:extent cx="1047750" cy="1143000"/>
                  <wp:effectExtent l="0" t="0" r="0" b="0"/>
                  <wp:docPr id="3" name="Bild 3" descr="Sichelförmig gebogene Klinge aus dunklem Feuers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chelförmig gebogene Klinge aus dunklem Feuerst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1143000"/>
                          </a:xfrm>
                          <a:prstGeom prst="rect">
                            <a:avLst/>
                          </a:prstGeom>
                          <a:noFill/>
                          <a:ln>
                            <a:noFill/>
                          </a:ln>
                        </pic:spPr>
                      </pic:pic>
                    </a:graphicData>
                  </a:graphic>
                </wp:inline>
              </w:drawing>
            </w:r>
          </w:p>
          <w:p w14:paraId="3C74BC66" w14:textId="77777777" w:rsidR="00D97B9C" w:rsidRDefault="00D97B9C" w:rsidP="00111054">
            <w:pPr>
              <w:pStyle w:val="bildunterschrift"/>
              <w:jc w:val="center"/>
              <w:divId w:val="511645068"/>
              <w:rPr>
                <w:rFonts w:ascii="Calibri" w:hAnsi="Calibri" w:cs="Calibri"/>
              </w:rPr>
            </w:pPr>
            <w:r>
              <w:rPr>
                <w:rFonts w:ascii="Calibri" w:hAnsi="Calibri" w:cs="Calibri"/>
              </w:rPr>
              <w:t>Feuersteinsichel aus Südengland, etwa 2100 bis 1500 v. Chr. – Foto: Kate Sutton / PAS, CC BY-SA 4.0</w:t>
            </w:r>
          </w:p>
        </w:tc>
        <w:tc>
          <w:tcPr>
            <w:tcW w:w="2500" w:type="pct"/>
            <w:tcBorders>
              <w:top w:val="nil"/>
              <w:left w:val="nil"/>
              <w:bottom w:val="nil"/>
              <w:right w:val="nil"/>
            </w:tcBorders>
            <w:tcMar>
              <w:top w:w="60" w:type="dxa"/>
              <w:left w:w="100" w:type="dxa"/>
              <w:bottom w:w="60" w:type="dxa"/>
              <w:right w:w="100" w:type="dxa"/>
            </w:tcMar>
            <w:hideMark/>
          </w:tcPr>
          <w:p w14:paraId="656C659A" w14:textId="77777777" w:rsidR="00D97B9C" w:rsidRDefault="00D97B9C" w:rsidP="00111054">
            <w:pPr>
              <w:pStyle w:val="StandardWeb"/>
              <w:jc w:val="center"/>
              <w:divId w:val="844395597"/>
              <w:rPr>
                <w:rFonts w:ascii="Calibri" w:hAnsi="Calibri" w:cs="Calibri"/>
                <w:sz w:val="22"/>
                <w:szCs w:val="22"/>
              </w:rPr>
            </w:pPr>
            <w:r>
              <w:rPr>
                <w:rFonts w:ascii="Calibri" w:hAnsi="Calibri" w:cs="Calibri"/>
                <w:noProof/>
                <w:sz w:val="22"/>
                <w:szCs w:val="22"/>
              </w:rPr>
              <w:drawing>
                <wp:inline distT="0" distB="0" distL="0" distR="0" wp14:anchorId="616EA3EF" wp14:editId="3A0CF2C0">
                  <wp:extent cx="1095375" cy="1143000"/>
                  <wp:effectExtent l="0" t="0" r="9525" b="0"/>
                  <wp:docPr id="4" name="Bild 4" descr="Etwa zwei Dutzend kleine, scharfkantige Steinsplitter, wenige Millimeter bis knapp drei Zentimeter l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wa zwei Dutzend kleine, scharfkantige Steinsplitter, wenige Millimeter bis knapp drei Zentimeter la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143000"/>
                          </a:xfrm>
                          <a:prstGeom prst="rect">
                            <a:avLst/>
                          </a:prstGeom>
                          <a:noFill/>
                          <a:ln>
                            <a:noFill/>
                          </a:ln>
                        </pic:spPr>
                      </pic:pic>
                    </a:graphicData>
                  </a:graphic>
                </wp:inline>
              </w:drawing>
            </w:r>
          </w:p>
          <w:p w14:paraId="0A82A8E7" w14:textId="77777777" w:rsidR="00D97B9C" w:rsidRDefault="00D97B9C" w:rsidP="00111054">
            <w:pPr>
              <w:pStyle w:val="bildunterschrift"/>
              <w:jc w:val="center"/>
              <w:divId w:val="844395597"/>
              <w:rPr>
                <w:rFonts w:ascii="Calibri" w:hAnsi="Calibri" w:cs="Calibri"/>
              </w:rPr>
            </w:pPr>
            <w:r>
              <w:rPr>
                <w:rFonts w:ascii="Calibri" w:hAnsi="Calibri" w:cs="Calibri"/>
              </w:rPr>
              <w:t>Mikrolithen aus Mittelengland, Mittelsteinzeit (etwa 8000 bis 4000 v. Chr.) – Foto: Birmingham Museums Trust / PAS, CC BY-SA 4.0</w:t>
            </w:r>
          </w:p>
        </w:tc>
      </w:tr>
    </w:tbl>
    <w:p w14:paraId="11B674EF" w14:textId="77777777" w:rsidR="00D97B9C" w:rsidRDefault="00D97B9C" w:rsidP="00111054">
      <w:pPr>
        <w:pStyle w:val="berschrift3"/>
        <w:keepNext/>
        <w:rPr>
          <w:rFonts w:eastAsia="Times New Roman" w:cs="Calibri"/>
        </w:rPr>
      </w:pPr>
      <w:r>
        <w:rPr>
          <w:rFonts w:eastAsia="Times New Roman" w:cs="Calibri"/>
        </w:rPr>
        <w:t>M2 Was Skelette verraten (Zitate und Studien)</w:t>
      </w:r>
    </w:p>
    <w:p w14:paraId="1FB0A8E7" w14:textId="77777777" w:rsidR="00D97B9C" w:rsidRDefault="00D97B9C" w:rsidP="00111054">
      <w:pPr>
        <w:pStyle w:val="StandardWeb"/>
        <w:rPr>
          <w:rFonts w:ascii="Calibri" w:hAnsi="Calibri" w:cs="Calibri"/>
          <w:sz w:val="22"/>
          <w:szCs w:val="22"/>
        </w:rPr>
      </w:pPr>
      <w:r>
        <w:rPr>
          <w:rStyle w:val="Fett"/>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 xml:space="preserve">Jared Diamond (geboren 1937) ist ein US-amerikanischer Evolutionsbiologe und Geograf. 1987 schrieb er für die Zeitschrift </w:t>
      </w:r>
      <w:r>
        <w:rPr>
          <w:rStyle w:val="Hervorhebung"/>
          <w:rFonts w:ascii="Calibri" w:hAnsi="Calibri" w:cs="Calibri"/>
          <w:sz w:val="22"/>
          <w:szCs w:val="22"/>
        </w:rPr>
        <w:t>Discover</w:t>
      </w:r>
      <w:r>
        <w:rPr>
          <w:rFonts w:ascii="Calibri" w:hAnsi="Calibri" w:cs="Calibri"/>
          <w:sz w:val="22"/>
          <w:szCs w:val="22"/>
        </w:rPr>
        <w:t xml:space="preserve"> den Artikel „The Worst Mistake in the History of the Human Race“ („Der schlimmste Fehler in der Geschichte der Menschheit“). Er richtet sich an ein breites Publikum und will provozieren. Seine Zahlen stammen aus Skelettuntersuchungen anderer Forscher.</w:t>
      </w:r>
    </w:p>
    <w:p w14:paraId="574C629C" w14:textId="77777777" w:rsidR="00D97B9C" w:rsidRDefault="00D97B9C" w:rsidP="00111054">
      <w:pPr>
        <w:pStyle w:val="StandardWeb"/>
        <w:divId w:val="219480411"/>
        <w:rPr>
          <w:rFonts w:ascii="Calibri" w:hAnsi="Calibri" w:cs="Calibri"/>
          <w:i/>
          <w:iCs/>
          <w:sz w:val="22"/>
          <w:szCs w:val="22"/>
        </w:rPr>
      </w:pPr>
      <w:r>
        <w:rPr>
          <w:rFonts w:ascii="Calibri" w:hAnsi="Calibri" w:cs="Calibri"/>
          <w:i/>
          <w:iCs/>
          <w:sz w:val="22"/>
          <w:szCs w:val="22"/>
        </w:rPr>
        <w:t>Die Einführung der Landwirtschaft war „in vielerlei Hinsicht eine Katastrophe, von der wir uns nie erholt haben“. […] Mit ihr kamen „die krasse soziale und geschlechtliche Ungleichheit, die Krankheiten und die Gewaltherrschaft, die unser Dasein verfluchen“.</w:t>
      </w:r>
    </w:p>
    <w:p w14:paraId="286FD975" w14:textId="77777777" w:rsidR="00D97B9C" w:rsidRDefault="00D97B9C" w:rsidP="00111054">
      <w:pPr>
        <w:pStyle w:val="StandardWeb"/>
        <w:divId w:val="219480411"/>
        <w:rPr>
          <w:rFonts w:ascii="Calibri" w:hAnsi="Calibri" w:cs="Calibri"/>
          <w:i/>
          <w:iCs/>
          <w:sz w:val="22"/>
          <w:szCs w:val="22"/>
        </w:rPr>
      </w:pPr>
      <w:r>
        <w:rPr>
          <w:rFonts w:ascii="Calibri" w:hAnsi="Calibri" w:cs="Calibri"/>
          <w:i/>
          <w:iCs/>
          <w:sz w:val="22"/>
          <w:szCs w:val="22"/>
        </w:rPr>
        <w:t>— Jared Diamond, 1987 (Auszüge, eigene Übersetzung)</w:t>
      </w:r>
    </w:p>
    <w:p w14:paraId="65F62EB9" w14:textId="77777777" w:rsidR="00D97B9C" w:rsidRDefault="00D97B9C" w:rsidP="00111054">
      <w:pPr>
        <w:pStyle w:val="StandardWeb"/>
        <w:rPr>
          <w:rFonts w:ascii="Calibri" w:hAnsi="Calibri" w:cs="Calibri"/>
          <w:sz w:val="22"/>
          <w:szCs w:val="22"/>
        </w:rPr>
      </w:pPr>
      <w:r>
        <w:rPr>
          <w:rStyle w:val="Fett"/>
          <w:rFonts w:ascii="Calibri" w:hAnsi="Calibri" w:cs="Calibri"/>
          <w:sz w:val="22"/>
          <w:szCs w:val="22"/>
        </w:rPr>
        <w:t>Körpergröße im Durchschnitt</w:t>
      </w:r>
      <w:r>
        <w:rPr>
          <w:rFonts w:ascii="Calibri" w:hAnsi="Calibri" w:cs="Calibri"/>
          <w:sz w:val="22"/>
          <w:szCs w:val="22"/>
        </w:rPr>
        <w:t>, nach Skeletten aus Griechenland und der Türkei (Angaben bei Diamond in Fuß und Zoll, hier gerundet umgerechnet):</w:t>
      </w:r>
    </w:p>
    <w:tbl>
      <w:tblPr>
        <w:tblW w:w="5000" w:type="pct"/>
        <w:tblCellMar>
          <w:top w:w="15" w:type="dxa"/>
          <w:left w:w="15" w:type="dxa"/>
          <w:bottom w:w="15" w:type="dxa"/>
          <w:right w:w="15" w:type="dxa"/>
        </w:tblCellMar>
        <w:tblLook w:val="04A0" w:firstRow="1" w:lastRow="0" w:firstColumn="1" w:lastColumn="0" w:noHBand="0" w:noVBand="1"/>
      </w:tblPr>
      <w:tblGrid>
        <w:gridCol w:w="5442"/>
        <w:gridCol w:w="1984"/>
        <w:gridCol w:w="1984"/>
      </w:tblGrid>
      <w:tr w:rsidR="00000000" w14:paraId="4B5B261B" w14:textId="77777777" w:rsidTr="00111054">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306B6B84"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Zeit</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408678B"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Männer</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1790900"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Frauen</w:t>
            </w:r>
          </w:p>
        </w:tc>
      </w:tr>
      <w:tr w:rsidR="00000000" w14:paraId="4072AF05"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2D1C33D"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Jäger und Sammler am Ende der Eiszeit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43B9E14"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etwa 175 cm</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E2C3178"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etwa 165 cm</w:t>
            </w:r>
          </w:p>
        </w:tc>
      </w:tr>
      <w:tr w:rsidR="00000000" w14:paraId="2432EA50"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AB13846"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Bauern um 3000 v. Chr.</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BC886A8"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etwa 160 cm</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6E2C1D5"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etwa 152 cm</w:t>
            </w:r>
          </w:p>
        </w:tc>
      </w:tr>
    </w:tbl>
    <w:p w14:paraId="5053C20C" w14:textId="77777777" w:rsidR="00D97B9C" w:rsidRDefault="00D97B9C" w:rsidP="00111054">
      <w:pPr>
        <w:pStyle w:val="StandardWeb"/>
        <w:rPr>
          <w:rFonts w:ascii="Calibri" w:hAnsi="Calibri" w:cs="Calibri"/>
          <w:sz w:val="22"/>
          <w:szCs w:val="22"/>
        </w:rPr>
      </w:pPr>
      <w:r>
        <w:rPr>
          <w:rStyle w:val="Fett"/>
          <w:rFonts w:ascii="Calibri" w:hAnsi="Calibri" w:cs="Calibri"/>
          <w:sz w:val="22"/>
          <w:szCs w:val="22"/>
        </w:rPr>
        <w:t>Arbeitszeit:</w:t>
      </w:r>
      <w:r>
        <w:rPr>
          <w:rFonts w:ascii="Calibri" w:hAnsi="Calibri" w:cs="Calibri"/>
          <w:sz w:val="22"/>
          <w:szCs w:val="22"/>
        </w:rPr>
        <w:t xml:space="preserve"> Nach Diamond verbrachten Jäger-und-Sammler-Gruppen im 20. Jahrhundert für die Nahrungssuche etwa 12 bis 19 Stunden pro Woche (eine Gruppe in der Kalahari-Wüste) bzw. höchstens 14 Stunden (die Hadza in Tansania).</w:t>
      </w:r>
    </w:p>
    <w:p w14:paraId="38482F09" w14:textId="77777777" w:rsidR="00D97B9C" w:rsidRDefault="00D97B9C" w:rsidP="00111054">
      <w:pPr>
        <w:pStyle w:val="StandardWeb"/>
        <w:rPr>
          <w:rFonts w:ascii="Calibri" w:hAnsi="Calibri" w:cs="Calibri"/>
          <w:sz w:val="22"/>
          <w:szCs w:val="22"/>
        </w:rPr>
      </w:pPr>
      <w:r>
        <w:rPr>
          <w:rStyle w:val="Fett"/>
          <w:rFonts w:ascii="Calibri" w:hAnsi="Calibri" w:cs="Calibri"/>
          <w:sz w:val="22"/>
          <w:szCs w:val="22"/>
        </w:rPr>
        <w:t>Was die Forschung heute sagt (Darstellung):</w:t>
      </w:r>
      <w:r>
        <w:rPr>
          <w:rFonts w:ascii="Calibri" w:hAnsi="Calibri" w:cs="Calibri"/>
          <w:sz w:val="22"/>
          <w:szCs w:val="22"/>
        </w:rPr>
        <w:t xml:space="preserve"> </w:t>
      </w:r>
      <w:r>
        <w:rPr>
          <w:rFonts w:ascii="Calibri" w:hAnsi="Calibri" w:cs="Calibri"/>
          <w:sz w:val="22"/>
          <w:szCs w:val="22"/>
        </w:rPr>
        <w:t xml:space="preserve">Viele Skelettstudien finden bei frühen Bauern häufiger Karies, Schäden am Zahnschmelz und Anzeichen von Mangelernährung als bei Jägern und Sammlern. Eine Studie von 2022 verglich bei 167 Menschen aus der Vorgeschichte Europas die Körpergröße, die ihre Gene erwarten ließen, mit der Größe, die man an ihren Knochen misst. Menschen der Jungsteinzeit </w:t>
      </w:r>
      <w:r>
        <w:rPr>
          <w:rFonts w:ascii="Calibri" w:hAnsi="Calibri" w:cs="Calibri"/>
          <w:sz w:val="22"/>
          <w:szCs w:val="22"/>
        </w:rPr>
        <w:lastRenderedPageBreak/>
        <w:t>waren im Schnitt knapp 4 cm kleiner, als ihre Gene erwarten ließen, verglichen mit Menschen aus der Zeit davor. Die Forschenden vermuten schlechtere Ernährung und m</w:t>
      </w:r>
      <w:r>
        <w:rPr>
          <w:rFonts w:ascii="Calibri" w:hAnsi="Calibri" w:cs="Calibri"/>
          <w:sz w:val="22"/>
          <w:szCs w:val="22"/>
        </w:rPr>
        <w:t>ehr Krankheiten in der Kindheit, betonen aber, dass das Ergebnis unsicher ist. Andere Fachleute halten Diamonds Bild für zu einseitig: Auch Jäger und Sammler kannten Hunger und Gewalt, und Ackerbau konnte auf derselben Fläche weit mehr Menschen ernähren.</w:t>
      </w:r>
    </w:p>
    <w:p w14:paraId="44413C98" w14:textId="77777777" w:rsidR="00D97B9C" w:rsidRDefault="00D97B9C" w:rsidP="00111054">
      <w:pPr>
        <w:pStyle w:val="berschrift3"/>
        <w:keepNext/>
        <w:rPr>
          <w:rFonts w:eastAsia="Times New Roman" w:cs="Calibri"/>
        </w:rPr>
      </w:pPr>
      <w:r>
        <w:rPr>
          <w:rFonts w:eastAsia="Times New Roman" w:cs="Calibri"/>
        </w:rPr>
        <w:t>M3 Das Massengrab von Talheim (archäologischer Befund)</w:t>
      </w:r>
    </w:p>
    <w:p w14:paraId="15BE6245" w14:textId="77777777" w:rsidR="00D97B9C" w:rsidRDefault="00D97B9C" w:rsidP="00111054">
      <w:pPr>
        <w:pStyle w:val="StandardWeb"/>
        <w:keepNext/>
        <w:divId w:val="581522814"/>
        <w:rPr>
          <w:rFonts w:ascii="Calibri" w:hAnsi="Calibri" w:cs="Calibri"/>
          <w:sz w:val="22"/>
          <w:szCs w:val="22"/>
        </w:rPr>
      </w:pPr>
      <w:r>
        <w:rPr>
          <w:rFonts w:ascii="Calibri" w:hAnsi="Calibri" w:cs="Calibri"/>
          <w:noProof/>
          <w:sz w:val="22"/>
          <w:szCs w:val="22"/>
        </w:rPr>
        <w:drawing>
          <wp:inline distT="0" distB="0" distL="0" distR="0" wp14:anchorId="009864AF" wp14:editId="5A52EAF7">
            <wp:extent cx="1352550" cy="1905000"/>
            <wp:effectExtent l="0" t="0" r="0" b="0"/>
            <wp:docPr id="5" name="Bild 5" descr="Menschlicher Schädel aus mehreren Bruchstücken, rote Pfeile markieren eine Verletzung am Schädeld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nschlicher Schädel aus mehreren Bruchstücken, rote Pfeile markieren eine Verletzung am Schädelda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1905000"/>
                    </a:xfrm>
                    <a:prstGeom prst="rect">
                      <a:avLst/>
                    </a:prstGeom>
                    <a:noFill/>
                    <a:ln>
                      <a:noFill/>
                    </a:ln>
                  </pic:spPr>
                </pic:pic>
              </a:graphicData>
            </a:graphic>
          </wp:inline>
        </w:drawing>
      </w:r>
    </w:p>
    <w:p w14:paraId="43CCBCBE" w14:textId="77777777" w:rsidR="00D97B9C" w:rsidRDefault="00D97B9C" w:rsidP="00111054">
      <w:pPr>
        <w:pStyle w:val="bildunterschrift"/>
        <w:keepNext/>
        <w:divId w:val="581522814"/>
        <w:rPr>
          <w:rFonts w:ascii="Calibri" w:hAnsi="Calibri" w:cs="Calibri"/>
        </w:rPr>
      </w:pPr>
      <w:r>
        <w:rPr>
          <w:rFonts w:ascii="Calibri" w:hAnsi="Calibri" w:cs="Calibri"/>
        </w:rPr>
        <w:t>Schädel eines 20- bis 30-jährigen Mannes aus Talheim, Landesmuseum Württemberg, Stuttgart. Rote Pfeile markieren eine Verletzung. – Foto: Einsamer Schütze, CC BY-SA 4.0</w:t>
      </w:r>
    </w:p>
    <w:p w14:paraId="2071B066"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1983 wurde in </w:t>
      </w:r>
      <w:r>
        <w:rPr>
          <w:rStyle w:val="Fett"/>
          <w:rFonts w:ascii="Calibri" w:hAnsi="Calibri" w:cs="Calibri"/>
          <w:sz w:val="22"/>
          <w:szCs w:val="22"/>
        </w:rPr>
        <w:t>Talheim</w:t>
      </w:r>
      <w:r>
        <w:rPr>
          <w:rFonts w:ascii="Calibri" w:hAnsi="Calibri" w:cs="Calibri"/>
          <w:sz w:val="22"/>
          <w:szCs w:val="22"/>
        </w:rPr>
        <w:t xml:space="preserve"> </w:t>
      </w:r>
      <w:r>
        <w:rPr>
          <w:rFonts w:ascii="Calibri" w:hAnsi="Calibri" w:cs="Calibri"/>
          <w:sz w:val="22"/>
          <w:szCs w:val="22"/>
        </w:rPr>
        <w:t xml:space="preserve">bei Heilbronn eine Grube mit menschlichen Skeletten entdeckt. Sie stammt aus der Zeit der Bandkeramik, um 5000 v. Chr. In der Grube lagen mindestens </w:t>
      </w:r>
      <w:r>
        <w:rPr>
          <w:rStyle w:val="Fett"/>
          <w:rFonts w:ascii="Calibri" w:hAnsi="Calibri" w:cs="Calibri"/>
          <w:sz w:val="22"/>
          <w:szCs w:val="22"/>
        </w:rPr>
        <w:t>34 Menschen</w:t>
      </w:r>
      <w:r>
        <w:rPr>
          <w:rFonts w:ascii="Calibri" w:hAnsi="Calibri" w:cs="Calibri"/>
          <w:sz w:val="22"/>
          <w:szCs w:val="22"/>
        </w:rPr>
        <w:t>: 16 Kinder, 9 Männer, 7 Frauen und 2 Erwachsene, deren Geschlecht sich nicht bestimmen ließ. Die Altersverteilung ähnelt der einer ganzen Dorfgemeinschaft.</w:t>
      </w:r>
    </w:p>
    <w:p w14:paraId="4488F7B2"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Viele Schädel zeigen Verletzungen, die nicht mehr verheilt sind. Die meisten Menschen starben durch Schläge auf den Kopf, vermutlich mit Steinbeilen, einige durch Pfeile. Die Forschung deutet den Fund als </w:t>
      </w:r>
      <w:r>
        <w:rPr>
          <w:rStyle w:val="Fett"/>
          <w:rFonts w:ascii="Calibri" w:hAnsi="Calibri" w:cs="Calibri"/>
          <w:sz w:val="22"/>
          <w:szCs w:val="22"/>
        </w:rPr>
        <w:t>Überfall</w:t>
      </w:r>
      <w:r>
        <w:rPr>
          <w:rFonts w:ascii="Calibri" w:hAnsi="Calibri" w:cs="Calibri"/>
          <w:sz w:val="22"/>
          <w:szCs w:val="22"/>
        </w:rPr>
        <w:t xml:space="preserve"> einer benachbarten Gruppe. Warum es dazu kam, ist unklar: Vermutet werden Streit um Land oder Vorräte, eine Fehde oder Raub.</w:t>
      </w:r>
    </w:p>
    <w:p w14:paraId="55933BCF"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Talheim ist kein Einzelfall. In </w:t>
      </w:r>
      <w:r>
        <w:rPr>
          <w:rStyle w:val="Fett"/>
          <w:rFonts w:ascii="Calibri" w:hAnsi="Calibri" w:cs="Calibri"/>
          <w:sz w:val="22"/>
          <w:szCs w:val="22"/>
        </w:rPr>
        <w:t>Schöneck-Kilianstädten</w:t>
      </w:r>
      <w:r>
        <w:rPr>
          <w:rFonts w:ascii="Calibri" w:hAnsi="Calibri" w:cs="Calibri"/>
          <w:sz w:val="22"/>
          <w:szCs w:val="22"/>
        </w:rPr>
        <w:t xml:space="preserve"> </w:t>
      </w:r>
      <w:r>
        <w:rPr>
          <w:rFonts w:ascii="Calibri" w:hAnsi="Calibri" w:cs="Calibri"/>
          <w:sz w:val="22"/>
          <w:szCs w:val="22"/>
        </w:rPr>
        <w:t>(Main-Kinzig-Kreis, Hessen) fanden Archäologen 2006 ein Massengrab aus derselben Epoche mit mindestens 26 Toten, die durch Schläge und Pfeile starben. Bei vielen waren die Unterschenkel gezielt gebrochen worden.</w:t>
      </w:r>
    </w:p>
    <w:p w14:paraId="0C6A4D5E" w14:textId="77777777" w:rsidR="00D97B9C" w:rsidRDefault="00D97B9C" w:rsidP="00111054">
      <w:pPr>
        <w:pStyle w:val="berschrift3"/>
        <w:keepNext/>
        <w:rPr>
          <w:rFonts w:eastAsia="Times New Roman" w:cs="Calibri"/>
        </w:rPr>
      </w:pPr>
      <w:r>
        <w:rPr>
          <w:rFonts w:eastAsia="Times New Roman" w:cs="Calibri"/>
        </w:rPr>
        <w:lastRenderedPageBreak/>
        <w:t>M4 Raster: Leben vor und nach der Sesshaftigkeit</w:t>
      </w:r>
    </w:p>
    <w:tbl>
      <w:tblPr>
        <w:tblW w:w="5000" w:type="pct"/>
        <w:tblCellMar>
          <w:top w:w="15" w:type="dxa"/>
          <w:left w:w="15" w:type="dxa"/>
          <w:bottom w:w="15" w:type="dxa"/>
          <w:right w:w="15" w:type="dxa"/>
        </w:tblCellMar>
        <w:tblLook w:val="04A0" w:firstRow="1" w:lastRow="0" w:firstColumn="1" w:lastColumn="0" w:noHBand="0" w:noVBand="1"/>
      </w:tblPr>
      <w:tblGrid>
        <w:gridCol w:w="2680"/>
        <w:gridCol w:w="2804"/>
        <w:gridCol w:w="2024"/>
        <w:gridCol w:w="886"/>
        <w:gridCol w:w="1016"/>
      </w:tblGrid>
      <w:tr w:rsidR="00000000" w14:paraId="711405D5" w14:textId="77777777" w:rsidTr="00111054">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6526C877"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Bereich</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1BE57BB6"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Jäger und Sammler</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DC7BFF8"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frühe Bauern</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031C788C"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 / −</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649321A" w14:textId="77777777" w:rsidR="00D97B9C" w:rsidRDefault="00D97B9C" w:rsidP="0011105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Beleg</w:t>
            </w:r>
          </w:p>
        </w:tc>
      </w:tr>
      <w:tr w:rsidR="00000000" w14:paraId="6F55458E"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830ACFF"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Nahrung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698CC6"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24A7579"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D899260"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1C14A8A"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3BC01B26"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55A45FC"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Wohnen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33BA697"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272EB17"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DB18AFB"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F2D6672"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44409709"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3DE64D5"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Besitz und Vorräte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5CF2C07"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7D8CA8E"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2DF8466"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3E71C97"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4263793D"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CEF075D"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Arbeit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8FA657B"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91412B3"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21E2FF9"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B234037"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0D8843A0"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D2EEB5A"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Gesundheit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C07E5DE"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60A2707"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8805EA"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357E20F" w14:textId="77777777" w:rsidR="00D97B9C" w:rsidRDefault="00D97B9C" w:rsidP="0011105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5D55CECA" w14:textId="77777777" w:rsidTr="0011105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F971370"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Konflikte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1D18003"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D28C223"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FACAAC2"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E1F99A3" w14:textId="77777777" w:rsidR="00D97B9C" w:rsidRDefault="00D97B9C" w:rsidP="00111054">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3FEB0DA6" w14:textId="77777777" w:rsidR="00D97B9C" w:rsidRDefault="00D97B9C" w:rsidP="00111054">
      <w:pPr>
        <w:pStyle w:val="berschrift3"/>
        <w:keepNext/>
        <w:rPr>
          <w:rFonts w:eastAsia="Times New Roman" w:cs="Calibri"/>
        </w:rPr>
      </w:pPr>
      <w:r>
        <w:rPr>
          <w:rFonts w:eastAsia="Times New Roman" w:cs="Calibri"/>
        </w:rPr>
        <w:t>M5 Was ist gesellschaftlicher Wandel? (Darstellung)</w:t>
      </w:r>
    </w:p>
    <w:p w14:paraId="37777338"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Gesellschaften bleiben nicht gleich. Menschen arbeiten anders, Familienformen ändern sich, politische Ordnungen entstehen und vergehen, Erfindungen verändern den Alltag, Werte verschieben sich. Von </w:t>
      </w:r>
      <w:r>
        <w:rPr>
          <w:rStyle w:val="Fett"/>
          <w:rFonts w:ascii="Calibri" w:hAnsi="Calibri" w:cs="Calibri"/>
          <w:sz w:val="22"/>
          <w:szCs w:val="22"/>
        </w:rPr>
        <w:t>gesellschaftlichem Wandel</w:t>
      </w:r>
      <w:r>
        <w:rPr>
          <w:rFonts w:ascii="Calibri" w:hAnsi="Calibri" w:cs="Calibri"/>
          <w:sz w:val="22"/>
          <w:szCs w:val="22"/>
        </w:rPr>
        <w:t xml:space="preserve"> </w:t>
      </w:r>
      <w:r>
        <w:rPr>
          <w:rFonts w:ascii="Calibri" w:hAnsi="Calibri" w:cs="Calibri"/>
          <w:sz w:val="22"/>
          <w:szCs w:val="22"/>
        </w:rPr>
        <w:t>spricht man, wenn sich die grundlegenden Strukturen einer Gesellschaft dauerhaft verändern. Gemeint sind keine kurzlebigen Trends, sondern Entwicklungen, die das Zusammenleben vieler Menschen prägen, oft über Jahrzehnte oder Jahrhunderte. Häufig bemerken Menschen erst im Rückblick, wie stark sich ihr Leben verändert hat.</w:t>
      </w:r>
    </w:p>
    <w:p w14:paraId="7C8C03FB" w14:textId="77777777" w:rsidR="00D97B9C" w:rsidRDefault="00D97B9C" w:rsidP="00111054">
      <w:pPr>
        <w:pStyle w:val="StandardWeb"/>
        <w:rPr>
          <w:rFonts w:ascii="Calibri" w:hAnsi="Calibri" w:cs="Calibri"/>
          <w:sz w:val="22"/>
          <w:szCs w:val="22"/>
        </w:rPr>
      </w:pPr>
      <w:r>
        <w:rPr>
          <w:rFonts w:ascii="Calibri" w:hAnsi="Calibri" w:cs="Calibri"/>
          <w:sz w:val="22"/>
          <w:szCs w:val="22"/>
        </w:rPr>
        <w:t xml:space="preserve">Wandel zeigt sich in verschiedenen </w:t>
      </w:r>
      <w:r>
        <w:rPr>
          <w:rStyle w:val="Fett"/>
          <w:rFonts w:ascii="Calibri" w:hAnsi="Calibri" w:cs="Calibri"/>
          <w:sz w:val="22"/>
          <w:szCs w:val="22"/>
        </w:rPr>
        <w:t>Bereichen</w:t>
      </w:r>
      <w:r>
        <w:rPr>
          <w:rFonts w:ascii="Calibri" w:hAnsi="Calibri" w:cs="Calibri"/>
          <w:sz w:val="22"/>
          <w:szCs w:val="22"/>
        </w:rPr>
        <w:t>:</w:t>
      </w:r>
    </w:p>
    <w:p w14:paraId="2281AFD1" w14:textId="77777777" w:rsidR="00D97B9C" w:rsidRDefault="00D97B9C" w:rsidP="00111054">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Wirtschaft:</w:t>
      </w:r>
      <w:r>
        <w:rPr>
          <w:rFonts w:ascii="Calibri" w:eastAsia="Times New Roman" w:hAnsi="Calibri" w:cs="Calibri"/>
          <w:sz w:val="22"/>
          <w:szCs w:val="22"/>
        </w:rPr>
        <w:t xml:space="preserve"> Wie werden Güter hergestellt? Wem gehören Land, Maschinen, Kapital oder Daten?</w:t>
      </w:r>
    </w:p>
    <w:p w14:paraId="6442B3AC" w14:textId="77777777" w:rsidR="00D97B9C" w:rsidRDefault="00D97B9C" w:rsidP="00111054">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Politik:</w:t>
      </w:r>
      <w:r>
        <w:rPr>
          <w:rFonts w:ascii="Calibri" w:eastAsia="Times New Roman" w:hAnsi="Calibri" w:cs="Calibri"/>
          <w:sz w:val="22"/>
          <w:szCs w:val="22"/>
        </w:rPr>
        <w:t xml:space="preserve"> </w:t>
      </w:r>
      <w:r>
        <w:rPr>
          <w:rFonts w:ascii="Calibri" w:eastAsia="Times New Roman" w:hAnsi="Calibri" w:cs="Calibri"/>
          <w:sz w:val="22"/>
          <w:szCs w:val="22"/>
        </w:rPr>
        <w:t>Wer entscheidet? Wie ist Macht verteilt? Welche Rechte haben die Menschen?</w:t>
      </w:r>
    </w:p>
    <w:p w14:paraId="6DF3CA03" w14:textId="77777777" w:rsidR="00D97B9C" w:rsidRDefault="00D97B9C" w:rsidP="00111054">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Soziale Ordnung:</w:t>
      </w:r>
      <w:r>
        <w:rPr>
          <w:rFonts w:ascii="Calibri" w:eastAsia="Times New Roman" w:hAnsi="Calibri" w:cs="Calibri"/>
          <w:sz w:val="22"/>
          <w:szCs w:val="22"/>
        </w:rPr>
        <w:t xml:space="preserve"> Welche Gruppen gibt es? Welche Chancen haben Menschen je nach Herkunft, Geschlecht, Bildung oder Einkommen?</w:t>
      </w:r>
    </w:p>
    <w:p w14:paraId="3C99D0F2" w14:textId="77777777" w:rsidR="00D97B9C" w:rsidRDefault="00D97B9C" w:rsidP="00111054">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Kultur und Werte:</w:t>
      </w:r>
      <w:r>
        <w:rPr>
          <w:rFonts w:ascii="Calibri" w:eastAsia="Times New Roman" w:hAnsi="Calibri" w:cs="Calibri"/>
          <w:sz w:val="22"/>
          <w:szCs w:val="22"/>
        </w:rPr>
        <w:t xml:space="preserve"> Was gilt als richtig? Welche Lebensformen werden akzeptiert?</w:t>
      </w:r>
    </w:p>
    <w:p w14:paraId="73F1B77E" w14:textId="77777777" w:rsidR="00D97B9C" w:rsidRDefault="00D97B9C" w:rsidP="00111054">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Technik:</w:t>
      </w:r>
      <w:r>
        <w:rPr>
          <w:rFonts w:ascii="Calibri" w:eastAsia="Times New Roman" w:hAnsi="Calibri" w:cs="Calibri"/>
          <w:sz w:val="22"/>
          <w:szCs w:val="22"/>
        </w:rPr>
        <w:t xml:space="preserve"> Welche Werkzeuge und Systeme prägen Arbeit, Kommunikation und Bildung?</w:t>
      </w:r>
    </w:p>
    <w:p w14:paraId="1B1945FA" w14:textId="77777777" w:rsidR="00D97B9C" w:rsidRDefault="00D97B9C" w:rsidP="00111054">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Umwelt:</w:t>
      </w:r>
      <w:r>
        <w:rPr>
          <w:rFonts w:ascii="Calibri" w:eastAsia="Times New Roman" w:hAnsi="Calibri" w:cs="Calibri"/>
          <w:sz w:val="22"/>
          <w:szCs w:val="22"/>
        </w:rPr>
        <w:t xml:space="preserve"> Wie geht eine Gesellschaft mit natürlichen Ressourcen und Krisen um?</w:t>
      </w:r>
    </w:p>
    <w:p w14:paraId="339E3C32" w14:textId="77777777" w:rsidR="00D97B9C" w:rsidRDefault="00D97B9C" w:rsidP="00111054">
      <w:pPr>
        <w:pStyle w:val="StandardWeb"/>
        <w:rPr>
          <w:rFonts w:ascii="Calibri" w:hAnsi="Calibri" w:cs="Calibri"/>
          <w:sz w:val="22"/>
          <w:szCs w:val="22"/>
        </w:rPr>
      </w:pPr>
      <w:r>
        <w:rPr>
          <w:rFonts w:ascii="Calibri" w:hAnsi="Calibri" w:cs="Calibri"/>
          <w:sz w:val="22"/>
          <w:szCs w:val="22"/>
        </w:rPr>
        <w:t>Drei Begriffe werden oft verwendet:</w:t>
      </w:r>
    </w:p>
    <w:p w14:paraId="587822BA" w14:textId="77777777" w:rsidR="00D97B9C" w:rsidRDefault="00D97B9C" w:rsidP="00111054">
      <w:pPr>
        <w:numPr>
          <w:ilvl w:val="0"/>
          <w:numId w:val="3"/>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Sozialer Wandel:</w:t>
      </w:r>
      <w:r>
        <w:rPr>
          <w:rFonts w:ascii="Calibri" w:eastAsia="Times New Roman" w:hAnsi="Calibri" w:cs="Calibri"/>
          <w:sz w:val="22"/>
          <w:szCs w:val="22"/>
        </w:rPr>
        <w:t xml:space="preserve"> </w:t>
      </w:r>
      <w:r>
        <w:rPr>
          <w:rFonts w:ascii="Calibri" w:eastAsia="Times New Roman" w:hAnsi="Calibri" w:cs="Calibri"/>
          <w:sz w:val="22"/>
          <w:szCs w:val="22"/>
        </w:rPr>
        <w:t>Veränderungen in den Beziehungen und Strukturen einer Gesellschaft, zum Beispiel bei Familienformen oder Geschlechterrollen.</w:t>
      </w:r>
    </w:p>
    <w:p w14:paraId="13D92E3D" w14:textId="77777777" w:rsidR="00D97B9C" w:rsidRDefault="00D97B9C" w:rsidP="00111054">
      <w:pPr>
        <w:numPr>
          <w:ilvl w:val="0"/>
          <w:numId w:val="3"/>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Modernisierung:</w:t>
      </w:r>
      <w:r>
        <w:rPr>
          <w:rFonts w:ascii="Calibri" w:eastAsia="Times New Roman" w:hAnsi="Calibri" w:cs="Calibri"/>
          <w:sz w:val="22"/>
          <w:szCs w:val="22"/>
        </w:rPr>
        <w:t xml:space="preserve"> der Übergang von traditionellen zu modernen Gesellschaften. Der Begriff ist umstritten, weil er nach automatischem Fortschritt klingt, obwohl Modernisierung auch neue Probleme schafft, etwa Umweltzerstörung.</w:t>
      </w:r>
    </w:p>
    <w:p w14:paraId="0DCF8685" w14:textId="77777777" w:rsidR="00D97B9C" w:rsidRDefault="00D97B9C" w:rsidP="00111054">
      <w:pPr>
        <w:numPr>
          <w:ilvl w:val="0"/>
          <w:numId w:val="3"/>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Transformation:</w:t>
      </w:r>
      <w:r>
        <w:rPr>
          <w:rFonts w:ascii="Calibri" w:eastAsia="Times New Roman" w:hAnsi="Calibri" w:cs="Calibri"/>
          <w:sz w:val="22"/>
          <w:szCs w:val="22"/>
        </w:rPr>
        <w:t xml:space="preserve"> ein besonders tiefgreifender Wandel, bei dem sich ganze gesellschaftliche Ordnungen verändern, nicht nur einzelne Bereiche.</w:t>
      </w:r>
    </w:p>
    <w:p w14:paraId="6D68642C" w14:textId="77777777" w:rsidR="00D97B9C" w:rsidRDefault="00D97B9C" w:rsidP="00111054">
      <w:pPr>
        <w:pStyle w:val="StandardWeb"/>
        <w:rPr>
          <w:rFonts w:ascii="Calibri" w:hAnsi="Calibri" w:cs="Calibri"/>
          <w:sz w:val="22"/>
          <w:szCs w:val="22"/>
        </w:rPr>
      </w:pPr>
      <w:r>
        <w:rPr>
          <w:rFonts w:ascii="Calibri" w:hAnsi="Calibri" w:cs="Calibri"/>
          <w:sz w:val="22"/>
          <w:szCs w:val="22"/>
        </w:rPr>
        <w:lastRenderedPageBreak/>
        <w:t xml:space="preserve">Gesellschaftlicher Wandel ist meist </w:t>
      </w:r>
      <w:r>
        <w:rPr>
          <w:rStyle w:val="Fett"/>
          <w:rFonts w:ascii="Calibri" w:hAnsi="Calibri" w:cs="Calibri"/>
          <w:sz w:val="22"/>
          <w:szCs w:val="22"/>
        </w:rPr>
        <w:t>ambivalent</w:t>
      </w:r>
      <w:r>
        <w:rPr>
          <w:rFonts w:ascii="Calibri" w:hAnsi="Calibri" w:cs="Calibri"/>
          <w:sz w:val="22"/>
          <w:szCs w:val="22"/>
        </w:rPr>
        <w:t>, also zwiespältig: Er bringt Chancen und Risiken zugleich. Eine Erfindung kann Arbeit erleichtern und zugleich Arbeitsplätze gefährden oder Ungleichheit verstärken.</w:t>
      </w:r>
    </w:p>
    <w:p w14:paraId="58D7CD3D" w14:textId="77777777" w:rsidR="00D97B9C" w:rsidRDefault="00D97B9C" w:rsidP="00111054">
      <w:pPr>
        <w:pStyle w:val="berschrift2"/>
        <w:keepNext/>
        <w:rPr>
          <w:rFonts w:eastAsia="Times New Roman" w:cs="Calibri"/>
        </w:rPr>
      </w:pPr>
      <w:r>
        <w:rPr>
          <w:rFonts w:eastAsia="Times New Roman" w:cs="Calibri"/>
        </w:rPr>
        <w:t>Quellen</w:t>
      </w:r>
    </w:p>
    <w:p w14:paraId="69E994AB" w14:textId="77777777" w:rsidR="00D97B9C" w:rsidRDefault="00D97B9C" w:rsidP="00111054">
      <w:pPr>
        <w:keepNext/>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Jared Diamond: The Worst Mistake in the History of the Human Race. In: </w:t>
      </w:r>
      <w:r>
        <w:rPr>
          <w:rStyle w:val="Hervorhebung"/>
          <w:rFonts w:ascii="Calibri" w:eastAsia="Times New Roman" w:hAnsi="Calibri" w:cs="Calibri"/>
          <w:sz w:val="22"/>
          <w:szCs w:val="22"/>
        </w:rPr>
        <w:t>Discover</w:t>
      </w:r>
      <w:r>
        <w:rPr>
          <w:rFonts w:ascii="Calibri" w:eastAsia="Times New Roman" w:hAnsi="Calibri" w:cs="Calibri"/>
          <w:sz w:val="22"/>
          <w:szCs w:val="22"/>
        </w:rPr>
        <w:t>, Mai 1987, S. 64–66. Zitate in eigener Übersetzung (Zitatrecht).</w:t>
      </w:r>
    </w:p>
    <w:p w14:paraId="40F95976" w14:textId="77777777" w:rsidR="00D97B9C" w:rsidRDefault="00D97B9C" w:rsidP="00111054">
      <w:pPr>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Stephanie Marciniak u. a.: An integrative skeletal and paleogenomic analysis of stature variation suggests relatively reduced health for early European farmers. In: </w:t>
      </w:r>
      <w:r>
        <w:rPr>
          <w:rStyle w:val="Hervorhebung"/>
          <w:rFonts w:ascii="Calibri" w:eastAsia="Times New Roman" w:hAnsi="Calibri" w:cs="Calibri"/>
          <w:sz w:val="22"/>
          <w:szCs w:val="22"/>
        </w:rPr>
        <w:t>PNAS</w:t>
      </w:r>
      <w:r>
        <w:rPr>
          <w:rFonts w:ascii="Calibri" w:eastAsia="Times New Roman" w:hAnsi="Calibri" w:cs="Calibri"/>
          <w:sz w:val="22"/>
          <w:szCs w:val="22"/>
        </w:rPr>
        <w:t xml:space="preserve"> 119 (15), 2022, doi:10.1073/pnas.2106743119.</w:t>
      </w:r>
    </w:p>
    <w:p w14:paraId="38E9C894" w14:textId="77777777" w:rsidR="00D97B9C" w:rsidRDefault="00D97B9C" w:rsidP="00111054">
      <w:pPr>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Christian Meyer, Christian Lohr, Detlef Gronenborn, Kurt W. Alt: The massacre mass grave of Schöneck-Kilianstädten reveals new insights into collective violence in Early Neolithic Central Europe. In: </w:t>
      </w:r>
      <w:r>
        <w:rPr>
          <w:rStyle w:val="Hervorhebung"/>
          <w:rFonts w:ascii="Calibri" w:eastAsia="Times New Roman" w:hAnsi="Calibri" w:cs="Calibri"/>
          <w:sz w:val="22"/>
          <w:szCs w:val="22"/>
        </w:rPr>
        <w:t>PNAS</w:t>
      </w:r>
      <w:r>
        <w:rPr>
          <w:rFonts w:ascii="Calibri" w:eastAsia="Times New Roman" w:hAnsi="Calibri" w:cs="Calibri"/>
          <w:sz w:val="22"/>
          <w:szCs w:val="22"/>
        </w:rPr>
        <w:t xml:space="preserve"> 112 (36), 2015, S. 11217–11222.</w:t>
      </w:r>
    </w:p>
    <w:p w14:paraId="7BC09EE4" w14:textId="77777777" w:rsidR="00D97B9C" w:rsidRDefault="00D97B9C" w:rsidP="00111054">
      <w:pPr>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Zum Massengrab von Talheim: Joachim Wahl, Hans Günther König: Anthropologisch-traumatologische Untersuchung der menschlichen Skelettreste aus dem bandkeramischen Massengrab bei Talheim. In: </w:t>
      </w:r>
      <w:r>
        <w:rPr>
          <w:rStyle w:val="Hervorhebung"/>
          <w:rFonts w:ascii="Calibri" w:eastAsia="Times New Roman" w:hAnsi="Calibri" w:cs="Calibri"/>
          <w:sz w:val="22"/>
          <w:szCs w:val="22"/>
        </w:rPr>
        <w:t>Fundberichte aus Baden-Württemberg</w:t>
      </w:r>
      <w:r>
        <w:rPr>
          <w:rFonts w:ascii="Calibri" w:eastAsia="Times New Roman" w:hAnsi="Calibri" w:cs="Calibri"/>
          <w:sz w:val="22"/>
          <w:szCs w:val="22"/>
        </w:rPr>
        <w:t xml:space="preserve"> 12, 1987, S. 65–193; Veröffentlichung des Stadtarchivs Heilbronn zum Massengrab Talheim.</w:t>
      </w:r>
    </w:p>
    <w:p w14:paraId="279C9BD2" w14:textId="77777777" w:rsidR="00D97B9C" w:rsidRDefault="00D97B9C" w:rsidP="00111054">
      <w:pPr>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Zur Bandkeramik: Historisches Lexikon der Schweiz, Artikel „Bandkeramik“; Spektrum der Wissenschaft: „Revolution in Zeitlupe“.</w:t>
      </w:r>
    </w:p>
    <w:p w14:paraId="3E129F08" w14:textId="77777777" w:rsidR="00D97B9C" w:rsidRDefault="00D97B9C" w:rsidP="00111054">
      <w:pPr>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Bilder: Wikimedia Commons (Link jeweils im Bildnachweis), Urheber und Lizenz unter dem Bild. PAS = Portable Antiquities Scheme (Fundregister in England und Wales); Mikrolithen: Caroline Johnson, Birmingham Museums Trust; Sichel: Kate Sutton, West Berkshire.</w:t>
      </w:r>
    </w:p>
    <w:p w14:paraId="6B6BC447" w14:textId="77777777" w:rsidR="00D97B9C" w:rsidRDefault="00D97B9C" w:rsidP="00111054">
      <w:pPr>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M5 nach einem Arbeitsblatt der Lehrkraft, überarbeitet. Alle übrigen Texte und Aufgaben sind selbst erstellt.</w:t>
      </w:r>
    </w:p>
    <w:p w14:paraId="2055D7D9" w14:textId="77777777" w:rsidR="00D97B9C" w:rsidRDefault="00D97B9C" w:rsidP="00111054">
      <w:pPr>
        <w:pStyle w:val="berschrift3"/>
        <w:keepNext/>
        <w:rPr>
          <w:rFonts w:eastAsia="Times New Roman" w:cs="Calibri"/>
        </w:rPr>
      </w:pPr>
      <w:r>
        <w:rPr>
          <w:rFonts w:eastAsia="Times New Roman" w:cs="Calibri"/>
        </w:rPr>
        <w:t>Bildnachweise</w:t>
      </w:r>
    </w:p>
    <w:p w14:paraId="184663A5" w14:textId="77777777" w:rsidR="00D97B9C" w:rsidRDefault="00D97B9C" w:rsidP="00111054">
      <w:pPr>
        <w:keepNext/>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Neozoon, CC BY-SA 3.0: https://commons.wikimedia.org/wiki/File:Mahlstein_​Jungsteinzeit_​Mönchengladbach_​1.JPG</w:t>
      </w:r>
    </w:p>
    <w:p w14:paraId="5F69732D" w14:textId="77777777" w:rsidR="00D97B9C" w:rsidRDefault="00D97B9C" w:rsidP="00111054">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Wolfgang Sauber, CC BY-SA 4.0: https://commons.wikimedia.org/wiki/File:Rothenburg_​Museum_​-_​Linearbandkeramik.jpg</w:t>
      </w:r>
    </w:p>
    <w:p w14:paraId="6B747510" w14:textId="77777777" w:rsidR="00D97B9C" w:rsidRDefault="00D97B9C" w:rsidP="00111054">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Kate Sutton / PAS, CC BY-SA 4.0: https://commons.wikimedia.org/wiki/File:Neolithic_​sickle_​(FindID_​122034).jpg</w:t>
      </w:r>
    </w:p>
    <w:p w14:paraId="6DBBE058" w14:textId="77777777" w:rsidR="00D97B9C" w:rsidRDefault="00D97B9C" w:rsidP="00111054">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Birmingham Museums Trust / PAS, CC BY-SA 4.0: https://commons.wikimedia.org/wiki/File:Mesolithic_​microliths._​(FindID_​123728).jpg</w:t>
      </w:r>
    </w:p>
    <w:p w14:paraId="5B9A81C9" w14:textId="77777777" w:rsidR="00D97B9C" w:rsidRDefault="00D97B9C" w:rsidP="00111054">
      <w:pPr>
        <w:numPr>
          <w:ilvl w:val="0"/>
          <w:numId w:val="5"/>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Einsamer Schütze, CC BY-SA 4.0: https://commons.wikimedia.org/wiki/File:Landesmuseum_​Württemberg_​Stuttgart_​Neolithikum_​018.jpg</w:t>
      </w:r>
    </w:p>
    <w:sectPr w:rsidR="00D97B9C" w:rsidSect="00111054">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555A"/>
    <w:multiLevelType w:val="multilevel"/>
    <w:tmpl w:val="459C0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E529F"/>
    <w:multiLevelType w:val="multilevel"/>
    <w:tmpl w:val="C52C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620A8"/>
    <w:multiLevelType w:val="multilevel"/>
    <w:tmpl w:val="1CA4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62A3E"/>
    <w:multiLevelType w:val="multilevel"/>
    <w:tmpl w:val="9066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4A609F"/>
    <w:multiLevelType w:val="multilevel"/>
    <w:tmpl w:val="DB44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792294">
    <w:abstractNumId w:val="0"/>
  </w:num>
  <w:num w:numId="2" w16cid:durableId="1934127422">
    <w:abstractNumId w:val="1"/>
  </w:num>
  <w:num w:numId="3" w16cid:durableId="2096971999">
    <w:abstractNumId w:val="3"/>
  </w:num>
  <w:num w:numId="4" w16cid:durableId="1117018221">
    <w:abstractNumId w:val="4"/>
  </w:num>
  <w:num w:numId="5" w16cid:durableId="916549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11054"/>
    <w:rsid w:val="00111054"/>
    <w:rsid w:val="00407C1F"/>
    <w:rsid w:val="00D97B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64B64"/>
  <w15:chartTrackingRefBased/>
  <w15:docId w15:val="{53EFE7DB-4EB6-4C98-878D-FD6EEA43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character" w:styleId="Fett">
    <w:name w:val="Strong"/>
    <w:basedOn w:val="Absatz-Standardschriftart"/>
    <w:uiPriority w:val="22"/>
    <w:qFormat/>
    <w:rPr>
      <w:b/>
      <w:bCs/>
    </w:rPr>
  </w:style>
  <w:style w:type="paragraph" w:styleId="StandardWeb">
    <w:name w:val="Normal (Web)"/>
    <w:basedOn w:val="Standard"/>
    <w:uiPriority w:val="99"/>
    <w:semiHidden/>
    <w:unhideWhenUsed/>
    <w:pPr>
      <w:spacing w:before="100" w:beforeAutospacing="1" w:after="100" w:afterAutospacing="1"/>
    </w:p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480411">
      <w:blockQuote w:val="1"/>
      <w:marLeft w:val="360"/>
      <w:marRight w:val="360"/>
      <w:marTop w:val="120"/>
      <w:marBottom w:val="120"/>
      <w:divBdr>
        <w:top w:val="none" w:sz="0" w:space="0" w:color="auto"/>
        <w:left w:val="none" w:sz="0" w:space="0" w:color="auto"/>
        <w:bottom w:val="none" w:sz="0" w:space="0" w:color="auto"/>
        <w:right w:val="none" w:sz="0" w:space="0" w:color="auto"/>
      </w:divBdr>
    </w:div>
    <w:div w:id="511645068">
      <w:marLeft w:val="0"/>
      <w:marRight w:val="0"/>
      <w:marTop w:val="0"/>
      <w:marBottom w:val="0"/>
      <w:divBdr>
        <w:top w:val="none" w:sz="0" w:space="0" w:color="auto"/>
        <w:left w:val="none" w:sz="0" w:space="0" w:color="auto"/>
        <w:bottom w:val="none" w:sz="0" w:space="0" w:color="auto"/>
        <w:right w:val="none" w:sz="0" w:space="0" w:color="auto"/>
      </w:divBdr>
    </w:div>
    <w:div w:id="581522814">
      <w:marLeft w:val="0"/>
      <w:marRight w:val="0"/>
      <w:marTop w:val="0"/>
      <w:marBottom w:val="0"/>
      <w:divBdr>
        <w:top w:val="none" w:sz="0" w:space="0" w:color="auto"/>
        <w:left w:val="none" w:sz="0" w:space="0" w:color="auto"/>
        <w:bottom w:val="none" w:sz="0" w:space="0" w:color="auto"/>
        <w:right w:val="none" w:sz="0" w:space="0" w:color="auto"/>
      </w:divBdr>
    </w:div>
    <w:div w:id="844395597">
      <w:marLeft w:val="0"/>
      <w:marRight w:val="0"/>
      <w:marTop w:val="0"/>
      <w:marBottom w:val="0"/>
      <w:divBdr>
        <w:top w:val="none" w:sz="0" w:space="0" w:color="auto"/>
        <w:left w:val="none" w:sz="0" w:space="0" w:color="auto"/>
        <w:bottom w:val="none" w:sz="0" w:space="0" w:color="auto"/>
        <w:right w:val="none" w:sz="0" w:space="0" w:color="auto"/>
      </w:divBdr>
    </w:div>
    <w:div w:id="858739555">
      <w:marLeft w:val="0"/>
      <w:marRight w:val="0"/>
      <w:marTop w:val="0"/>
      <w:marBottom w:val="0"/>
      <w:divBdr>
        <w:top w:val="none" w:sz="0" w:space="0" w:color="auto"/>
        <w:left w:val="none" w:sz="0" w:space="0" w:color="auto"/>
        <w:bottom w:val="none" w:sz="0" w:space="0" w:color="auto"/>
        <w:right w:val="none" w:sz="0" w:space="0" w:color="auto"/>
      </w:divBdr>
    </w:div>
    <w:div w:id="16414937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9149</Characters>
  <Application>Microsoft Office Word</Application>
  <DocSecurity>4</DocSecurity>
  <Lines>76</Lines>
  <Paragraphs>21</Paragraphs>
  <ScaleCrop>false</ScaleCrop>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Sesshaft werden: Fortschritt oder Fehler? – Material</dc:title>
  <dc:subject/>
  <dc:creator>Nico Materne</dc:creator>
  <cp:keywords/>
  <dc:description/>
  <cp:lastModifiedBy>Nico Materne</cp:lastModifiedBy>
  <cp:revision>2</cp:revision>
  <dcterms:created xsi:type="dcterms:W3CDTF">2026-10-30T18:02:00Z</dcterms:created>
  <dcterms:modified xsi:type="dcterms:W3CDTF">2026-10-30T18:02:00Z</dcterms:modified>
</cp:coreProperties>
</file>